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7A" w:rsidRPr="00AA087A" w:rsidRDefault="00AA087A" w:rsidP="00AA087A">
      <w:pPr>
        <w:spacing w:before="240"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</w:pPr>
      <w:r w:rsidRPr="00AA087A"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  <w:t xml:space="preserve">DECRETO-LEGGE 23 dicembre 2013, n. 145  </w:t>
      </w:r>
    </w:p>
    <w:p w:rsidR="00AA087A" w:rsidRPr="00AA087A" w:rsidRDefault="00AA087A" w:rsidP="00AA087A">
      <w:pPr>
        <w:pBdr>
          <w:bottom w:val="single" w:sz="6" w:space="7" w:color="CCCCCC"/>
        </w:pBdr>
        <w:spacing w:after="48" w:line="312" w:lineRule="atLeast"/>
        <w:outlineLvl w:val="2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A087A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Interventi urgenti di avvio del piano "Destinazione Italia", per il contenimento delle tariffe elettriche e del gas, per la riduzione dei premi </w:t>
      </w:r>
      <w:proofErr w:type="spellStart"/>
      <w:r w:rsidRPr="00AA087A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RC-auto</w:t>
      </w:r>
      <w:proofErr w:type="spellEnd"/>
      <w:r w:rsidRPr="00AA087A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, per l'internazionalizzazione, lo sviluppo e la digitalizzazione delle imprese, </w:t>
      </w:r>
      <w:proofErr w:type="spellStart"/>
      <w:r w:rsidRPr="00AA087A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nonche'</w:t>
      </w:r>
      <w:proofErr w:type="spellEnd"/>
      <w:r w:rsidRPr="00AA087A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misure per la realizzazione di opere pubbliche ed EXPO 2015. (13G00189) </w:t>
      </w:r>
      <w:r w:rsidRPr="00AA087A">
        <w:rPr>
          <w:rFonts w:ascii="Arial" w:eastAsia="Times New Roman" w:hAnsi="Arial" w:cs="Arial"/>
          <w:color w:val="4A970B"/>
          <w:sz w:val="23"/>
          <w:lang w:eastAsia="it-IT"/>
        </w:rPr>
        <w:t xml:space="preserve">(GU Serie Generale n.300 del 23-12-2013) </w:t>
      </w:r>
    </w:p>
    <w:p w:rsidR="00AA087A" w:rsidRPr="00AA087A" w:rsidRDefault="00AA087A" w:rsidP="00AA087A">
      <w:pPr>
        <w:spacing w:before="100" w:beforeAutospacing="1" w:after="120" w:line="288" w:lineRule="atLeast"/>
        <w:outlineLvl w:val="3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A087A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note: </w:t>
      </w:r>
      <w:r w:rsidRPr="00AA087A">
        <w:rPr>
          <w:rFonts w:ascii="Arial" w:eastAsia="Times New Roman" w:hAnsi="Arial" w:cs="Arial"/>
          <w:color w:val="FF0000"/>
          <w:sz w:val="23"/>
          <w:lang w:eastAsia="it-IT"/>
        </w:rPr>
        <w:t xml:space="preserve">Entrata in vigore del provvedimento: 24/12/2013 </w:t>
      </w:r>
    </w:p>
    <w:p w:rsidR="00D560E2" w:rsidRDefault="00D560E2"/>
    <w:p w:rsidR="00AA087A" w:rsidRDefault="00AA087A"/>
    <w:p w:rsidR="00AA087A" w:rsidRDefault="00AA087A"/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Art. 9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Misure per favorire la diffusione della lettura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1. Nell'ambito di  apposito  Programma  Operativo  Nazionale  della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prossima programmazione 2014-2020 dei fondi  strutturali  comunitari,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previa verifica della coerenza con le linee  di  intervento  in  essa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previste ed a seguito dell'approvazione della Commissione europea, e'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disposta l'istituzione di un credito di  imposta  sui  redditi  delle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persone fisiche e giuridiche con  decorrenza  dal  periodo  d'imposta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determinato con il decreto di cui  al  comma  5  e  fino  al  periodo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d'imposta in corso al 31  dicembre  2016,  per  l'acquisto  di  libri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muniti di codice ISBN. </w:t>
      </w:r>
    </w:p>
    <w:p w:rsid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2. Il credito di imposta di cui al comma 1, fermo il  rispetto  dei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limiti  delle  risors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  complessive  effettivamente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individuate  per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ciascun  anno  nell'ambito  del  Programma  operativo  nazionale   di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riferimento, e' pari al 19 per cento della spesa effettuata nel corso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dell'anno solare per un importo massimo,  per  ciascun  soggetto,  di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euro 2000, di cui euro 1000  per  i  libri  di  testo  scolastici  ed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universitari ed euro 1000 per tutte le altre pubblicazioni. </w:t>
      </w:r>
    </w:p>
    <w:p w:rsid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3. L'acquisto deve essere documentato  fiscalmente  dal  venditore.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Sono esclusi gli acquisti di libri in formato  digitale,  o  comunque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proofErr w:type="spellStart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gia'</w:t>
      </w:r>
      <w:proofErr w:type="spellEnd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deducibili  nella  determinazione  dei  singoli   redditi   che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concorrono a formare il reddito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complessivo. </w:t>
      </w:r>
    </w:p>
    <w:p w:rsid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4. Con decreto del Ministro dello sviluppo economico,  di  concerto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 il Ministro dell'economia e delle finanze, da  emanare  entro  30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giorni  dall'adozione  dell'intervento  all'interno   del   programma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operativo nazionale di riferimento, sono definite,  conformemente  al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regolamento (CE) n. 1998/2006 della Commissione del 15 dicembre  2006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relativo all'applicazione degli articoli 87 e  88  del 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trattato  sul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funzionamento dell'Unione europea agli  aiuti  di  importanza  minore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(«de </w:t>
      </w:r>
      <w:proofErr w:type="spellStart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minimis</w:t>
      </w:r>
      <w:proofErr w:type="spellEnd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»), le </w:t>
      </w:r>
      <w:proofErr w:type="spellStart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modalita'</w:t>
      </w:r>
      <w:proofErr w:type="spellEnd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per usufruire del  credito  d'imposta  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 la comunicazione delle spese effettuate ai fini della verifica di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capienza dei fondi annualmente disponibili, la documentazione fiscale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che deve essere rilasciata dal venditore,  il  regime  dei  controlli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sulle  spese  </w:t>
      </w:r>
      <w:proofErr w:type="spellStart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nonche'</w:t>
      </w:r>
      <w:proofErr w:type="spellEnd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ogni  altra  disposizione  necessaria  per  il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monitoraggio dell'agevolazione ed il rispetto del limite  massimo  di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risorse stanziate. </w:t>
      </w:r>
    </w:p>
    <w:p w:rsid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5. Previa verifica della coerenza con le  linee  di  intervento  in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essa previste, fruibili a seguito dell'approvazione  da  parte  della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Commissione europea del Programma Operativo Nazionale  relativo  alla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proofErr w:type="spellStart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Competitivita'</w:t>
      </w:r>
      <w:proofErr w:type="spellEnd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di  </w:t>
      </w:r>
      <w:proofErr w:type="spellStart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responsabilita'</w:t>
      </w:r>
      <w:proofErr w:type="spellEnd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del  Ministero  dello   sviluppo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economico, con decreto del Ministro dell'economia e delle finanze, di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concerto con il Ministro per la coesione  territoriale,  il  Ministro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 gli affari regionali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 le 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autonomie  e  con  il  Ministro  dello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sviluppo economico, e' stabilito  l'ammontare  dell'intervento  nella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misura massima  di  50  milioni  di  euro  a  valere  sulla  proposta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nazionale relativa alla prossima programmazione 2014-2020  dei  fondi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strutturali comunitari. </w:t>
      </w:r>
    </w:p>
    <w:p w:rsid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6. Il credito d'imposta deve essere  indicato  nella  dichiarazione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dei redditi relativa al periodo d'imposta  nel  corso  del  quale  il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beneficio e' maturato. Esso non concorre alla formazione del reddito,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ne' della base  imponibile  dell'imposta  regionale  sulle  </w:t>
      </w:r>
      <w:proofErr w:type="spellStart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attivita'</w:t>
      </w:r>
      <w:proofErr w:type="spellEnd"/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produttive, non rileva ai fini del rapporto di cui agli articoli 61 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109, comma 5, del testo unico delle imposte sui redditi,  di  cui  al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decreto del Presidente della Repubblica 22 dicembre 1986, n.  917,  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successive  modificazioni,  ed  e'  utilizzabile  esclusivamente   in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compensazione ai sensi dell'articolo 17  del  decreto  legislativo  9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luglio 1997, n. 241, e successive modificazioni. </w:t>
      </w:r>
    </w:p>
    <w:p w:rsid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7. Le risorse individuate  ai  sensi  del  comma  5,  sono  versate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all'entrata del bilancio dello Stato e  successivamente  riassegnate,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per le </w:t>
      </w:r>
      <w:proofErr w:type="spellStart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finalita'</w:t>
      </w:r>
      <w:proofErr w:type="spellEnd"/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spesa di cui al presente  articolo,  ad  apposito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programma dello stato di previsione  del  Ministero  dell'economia  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delle finanze. A tal fine,  il  Ministero  dello  sviluppo  economico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comunica al Fondo di rotazione di cui all'articolo 5 della  legge  16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aprile 1987, n. 183, gli importi comunitari e nazionali  riconosciuti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titolo di credito di imposta da versare  all'entrata  del  bilancio</w:t>
      </w:r>
    </w:p>
    <w:p w:rsidR="00AA087A" w:rsidRPr="00AA087A" w:rsidRDefault="00AA087A" w:rsidP="00AA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A087A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dello Stato. </w:t>
      </w:r>
    </w:p>
    <w:p w:rsidR="00AA087A" w:rsidRPr="00AA087A" w:rsidRDefault="00AA087A" w:rsidP="00AA08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AA087A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AA087A" w:rsidRDefault="00AA087A"/>
    <w:sectPr w:rsidR="00AA087A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087A"/>
    <w:rsid w:val="00475D84"/>
    <w:rsid w:val="00AA087A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paragraph" w:styleId="Titolo2">
    <w:name w:val="heading 2"/>
    <w:basedOn w:val="Normale"/>
    <w:link w:val="Titolo2Carattere"/>
    <w:uiPriority w:val="9"/>
    <w:qFormat/>
    <w:rsid w:val="00AA087A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A0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A08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A087A"/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087A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087A"/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character" w:customStyle="1" w:styleId="rosso2">
    <w:name w:val="rosso2"/>
    <w:basedOn w:val="Carpredefinitoparagrafo"/>
    <w:rsid w:val="00AA087A"/>
    <w:rPr>
      <w:b w:val="0"/>
      <w:bCs w:val="0"/>
      <w:color w:val="FF0000"/>
    </w:rPr>
  </w:style>
  <w:style w:type="character" w:customStyle="1" w:styleId="riferimento2">
    <w:name w:val="riferimento2"/>
    <w:basedOn w:val="Carpredefinitoparagrafo"/>
    <w:rsid w:val="00AA087A"/>
    <w:rPr>
      <w:color w:val="4A970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966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2014-01-10T17:42:00Z</cp:lastPrinted>
  <dcterms:created xsi:type="dcterms:W3CDTF">2014-01-10T17:37:00Z</dcterms:created>
  <dcterms:modified xsi:type="dcterms:W3CDTF">2014-01-10T17:43:00Z</dcterms:modified>
</cp:coreProperties>
</file>